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styles.xml" ContentType="application/vnd.openxmlformats-officedocument.wordprocessingml.styles+xml"/>
  <Override PartName="/word/footer2.xml" ContentType="application/vnd.openxmlformats-officedocument.wordprocessingml.foot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1.odttf" ContentType="application/vnd.openxmlformats-officedocument.obfuscatedFont"/>
  <Override PartName="/word/fonts/font25.odttf" ContentType="application/vnd.openxmlformats-officedocument.obfuscatedFont"/>
  <Override PartName="/word/fonts/font16.odttf" ContentType="application/vnd.openxmlformats-officedocument.obfuscatedFont"/>
  <Override PartName="/word/fonts/font28.odttf" ContentType="application/vnd.openxmlformats-officedocument.obfuscatedFont"/>
  <Override PartName="/word/fonts/font24.odttf" ContentType="application/vnd.openxmlformats-officedocument.obfuscatedFont"/>
  <Override PartName="/word/fonts/font6.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21.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6.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7"/>
        <w:jc w:val="center"/>
        <w:rPr>
          <w:rFonts w:ascii="Verdana" w:hAnsi="Verdana" w:eastAsia="Verdana" w:cs="Verdana"/>
          <w:b/>
          <w:sz w:val="36"/>
          <w:szCs w:val="36"/>
        </w:rPr>
      </w:pPr>
      <w:r>
        <w:rPr>
          <w:rFonts w:eastAsia="Verdana" w:cs="Verdana" w:ascii="Verdana" w:hAnsi="Verdana"/>
          <w:b/>
          <w:sz w:val="36"/>
          <w:szCs w:val="36"/>
        </w:rPr>
        <w:t xml:space="preserve">Student Code of Conduct for the Use of </w:t>
        <w:br/>
        <w:t>Generative AI Tools in Academic Tasks</w:t>
      </w:r>
    </w:p>
    <w:p>
      <w:pPr>
        <w:pStyle w:val="Normal"/>
        <w:spacing w:lineRule="auto" w:line="257"/>
        <w:jc w:val="center"/>
        <w:rPr>
          <w:rFonts w:ascii="Verdana" w:hAnsi="Verdana" w:eastAsia="Verdana" w:cs="Verdana"/>
          <w:b/>
          <w:lang w:val="en-US"/>
        </w:rPr>
      </w:pPr>
      <w:r>
        <w:rPr>
          <w:rFonts w:eastAsia="Verdana" w:cs="Verdana" w:ascii="Verdana" w:hAnsi="Verdana"/>
          <w:b/>
          <w:lang w:val="en-US"/>
        </w:rPr>
        <w:t>@goIIW (UHasselt &amp; KU Leuven), 2025-2026</w:t>
      </w:r>
    </w:p>
    <w:p>
      <w:pPr>
        <w:pStyle w:val="Normal"/>
        <w:spacing w:lineRule="auto" w:line="257"/>
        <w:jc w:val="both"/>
        <w:rPr>
          <w:rFonts w:ascii="Verdana" w:hAnsi="Verdana" w:eastAsia="Verdana" w:cs="Verdana"/>
          <w:sz w:val="20"/>
          <w:szCs w:val="20"/>
          <w:lang w:val="en-US"/>
        </w:rPr>
      </w:pPr>
      <w:r>
        <w:rPr>
          <w:rFonts w:eastAsia="Verdana" w:cs="Verdana" w:ascii="Verdana" w:hAnsi="Verdana"/>
          <w:sz w:val="20"/>
          <w:szCs w:val="20"/>
          <w:lang w:val="en-US"/>
        </w:rPr>
      </w:r>
    </w:p>
    <w:p>
      <w:pPr>
        <w:pStyle w:val="Normal"/>
        <w:spacing w:lineRule="auto" w:line="257"/>
        <w:jc w:val="both"/>
        <w:rPr>
          <w:rFonts w:ascii="Verdana" w:hAnsi="Verdana" w:eastAsia="Verdana" w:cs="Verdana"/>
          <w:sz w:val="20"/>
          <w:szCs w:val="20"/>
        </w:rPr>
      </w:pPr>
      <w:r>
        <w:rPr>
          <w:rFonts w:eastAsia="Verdana" w:cs="Verdana" w:ascii="Verdana" w:hAnsi="Verdana"/>
          <w:sz w:val="20"/>
          <w:szCs w:val="20"/>
        </w:rPr>
        <w:t xml:space="preserve">This form supports students &amp; faculty in </w:t>
      </w:r>
      <w:r>
        <w:rPr>
          <w:rFonts w:eastAsia="Verdana" w:cs="Verdana" w:ascii="Verdana" w:hAnsi="Verdana"/>
          <w:b/>
          <w:sz w:val="20"/>
          <w:szCs w:val="20"/>
        </w:rPr>
        <w:t>transparent, responsible, ethical use</w:t>
      </w:r>
      <w:r>
        <w:rPr>
          <w:rFonts w:eastAsia="Verdana" w:cs="Verdana" w:ascii="Verdana" w:hAnsi="Verdana"/>
          <w:sz w:val="20"/>
          <w:szCs w:val="20"/>
        </w:rPr>
        <w:t xml:space="preserve"> of Generative AI (GenAI)</w:t>
      </w:r>
      <w:r>
        <w:rPr>
          <w:rFonts w:eastAsia="Verdana" w:cs="Verdana" w:ascii="Verdana" w:hAnsi="Verdana"/>
        </w:rPr>
        <w:t xml:space="preserve"> </w:t>
      </w:r>
      <w:r>
        <w:rPr>
          <w:rFonts w:eastAsia="Verdana" w:cs="Verdana" w:ascii="Verdana" w:hAnsi="Verdana"/>
          <w:sz w:val="20"/>
          <w:szCs w:val="20"/>
        </w:rPr>
        <w:t>in academic tasks.</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 xml:space="preserve">THE COURSE INSTRUCTOR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specify</w:t>
      </w:r>
      <w:r>
        <w:rPr>
          <w:rFonts w:eastAsia="Verdana" w:cs="Verdana" w:ascii="Verdana" w:hAnsi="Verdana"/>
          <w:color w:val="000000"/>
          <w:sz w:val="20"/>
          <w:szCs w:val="20"/>
        </w:rPr>
        <w:t xml:space="preserve"> in this form which types of GenAI usage are permitted for the task, in alignment with the course’s learning objectives;</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can </w:t>
      </w:r>
      <w:r>
        <w:rPr>
          <w:rFonts w:eastAsia="Verdana" w:cs="Verdana" w:ascii="Verdana" w:hAnsi="Verdana"/>
          <w:b/>
          <w:color w:val="000000"/>
          <w:sz w:val="20"/>
          <w:szCs w:val="20"/>
        </w:rPr>
        <w:t xml:space="preserve">customize </w:t>
      </w:r>
      <w:r>
        <w:rPr>
          <w:rFonts w:eastAsia="Verdana" w:cs="Verdana" w:ascii="Verdana" w:hAnsi="Verdana"/>
          <w:color w:val="000000"/>
          <w:sz w:val="20"/>
          <w:szCs w:val="20"/>
        </w:rPr>
        <w:t>this form to cover domain-specific elements and add course-specific instructions or guidelines where necessary;</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is encouraged to </w:t>
      </w:r>
      <w:r>
        <w:rPr>
          <w:rFonts w:eastAsia="Verdana" w:cs="Verdana" w:ascii="Verdana" w:hAnsi="Verdana"/>
          <w:b/>
          <w:color w:val="000000"/>
          <w:sz w:val="20"/>
          <w:szCs w:val="20"/>
        </w:rPr>
        <w:t>address GenAI usage in class</w:t>
      </w:r>
      <w:r>
        <w:rPr>
          <w:rFonts w:eastAsia="Verdana" w:cs="Verdana" w:ascii="Verdana" w:hAnsi="Verdana"/>
          <w:color w:val="000000"/>
          <w:sz w:val="20"/>
          <w:szCs w:val="20"/>
        </w:rPr>
        <w:t xml:space="preserve"> to support students’ understanding of this Code of Conduct.</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THE STUDENT</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carefully read</w:t>
      </w:r>
      <w:r>
        <w:rPr>
          <w:rFonts w:eastAsia="Verdana" w:cs="Verdana" w:ascii="Verdana" w:hAnsi="Verdana"/>
          <w:color w:val="000000"/>
          <w:sz w:val="20"/>
          <w:szCs w:val="20"/>
        </w:rPr>
        <w:t xml:space="preserve"> this form to understand which types of usage are permitted and which guidelines apply;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indicate</w:t>
      </w:r>
      <w:r>
        <w:rPr>
          <w:rFonts w:eastAsia="Verdana" w:cs="Verdana" w:ascii="Verdana" w:hAnsi="Verdana"/>
          <w:color w:val="000000"/>
          <w:sz w:val="20"/>
          <w:szCs w:val="20"/>
        </w:rPr>
        <w:t xml:space="preserve"> whether any of the allowed types of usage were applied and, if so, list the tools used;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date and sign</w:t>
      </w:r>
      <w:r>
        <w:rPr>
          <w:rFonts w:eastAsia="Verdana" w:cs="Verdana" w:ascii="Verdana" w:hAnsi="Verdana"/>
          <w:color w:val="000000"/>
          <w:sz w:val="20"/>
          <w:szCs w:val="20"/>
        </w:rPr>
        <w:t xml:space="preserve"> this form to formally confirm the proper use of GenAI tools in preparing the submitted work;</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attach</w:t>
      </w:r>
      <w:r>
        <w:rPr>
          <w:rFonts w:eastAsia="Verdana" w:cs="Verdana" w:ascii="Verdana" w:hAnsi="Verdana"/>
          <w:color w:val="000000"/>
          <w:sz w:val="20"/>
          <w:szCs w:val="20"/>
        </w:rPr>
        <w:t xml:space="preserve"> the signed form to the submitted work, which replaces the need to include additional acknowledgments within the work or list GenAI tools in the reference list, unless specified otherwise by the instructor.</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tbl>
      <w:tblPr>
        <w:tblStyle w:val="a1"/>
        <w:tblW w:w="8500" w:type="dxa"/>
        <w:jc w:val="start"/>
        <w:tblInd w:w="0" w:type="dxa"/>
        <w:tblLayout w:type="fixed"/>
        <w:tblCellMar>
          <w:top w:w="99" w:type="dxa"/>
          <w:start w:w="99" w:type="dxa"/>
          <w:bottom w:w="99" w:type="dxa"/>
          <w:end w:w="99" w:type="dxa"/>
        </w:tblCellMar>
        <w:tblLook w:val="0400" w:noHBand="0" w:noVBand="1" w:firstColumn="0" w:lastRow="0" w:lastColumn="0" w:firstRow="0"/>
      </w:tblPr>
      <w:tblGrid>
        <w:gridCol w:w="3404"/>
        <w:gridCol w:w="5096"/>
      </w:tblGrid>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Course</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Augmented, Mixed and Virtual Reality (AMVR)</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Instructor</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b/>
              <w:t>Davy Vanacken, Nick Michiels, Gustavo Rovelo Ruiz, Steven Moonen</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Task</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Portfolio (to be submitted with every task)</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Date or period</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2025-2026, semester 1</w:t>
            </w:r>
          </w:p>
        </w:tc>
      </w:tr>
    </w:tbl>
    <w:p>
      <w:pPr>
        <w:pStyle w:val="Normal"/>
        <w:rPr>
          <w:rFonts w:ascii="Verdana" w:hAnsi="Verdana" w:eastAsia="Verdana" w:cs="Verdana"/>
        </w:rPr>
      </w:pPr>
      <w:r>
        <w:rPr>
          <w:rFonts w:eastAsia="Verdana" w:cs="Verdana" w:ascii="Verdana" w:hAnsi="Verdana"/>
        </w:rPr>
      </w:r>
    </w:p>
    <w:tbl>
      <w:tblPr>
        <w:tblStyle w:val="a2"/>
        <w:tblpPr w:vertAnchor="page" w:horzAnchor="page" w:tblpXSpec="center" w:bottomFromText="160" w:leftFromText="141" w:rightFromText="141" w:tblpY="1395"/>
        <w:tblW w:w="10886"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2832"/>
        <w:gridCol w:w="1817"/>
        <w:gridCol w:w="3969"/>
        <w:gridCol w:w="1131"/>
        <w:gridCol w:w="1137"/>
      </w:tblGrid>
      <w:tr>
        <w:trPr>
          <w:trHeight w:val="1417" w:hRule="atLeast"/>
          <w:cantSplit w:val="true"/>
        </w:trPr>
        <w:tc>
          <w:tcPr>
            <w:tcW w:w="2832"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Type of usage </w:t>
              <w:br/>
              <w:t>of GenAI</w:t>
            </w:r>
          </w:p>
        </w:tc>
        <w:tc>
          <w:tcPr>
            <w:tcW w:w="181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Allowed by instructor?</w:t>
            </w:r>
          </w:p>
        </w:tc>
        <w:tc>
          <w:tcPr>
            <w:tcW w:w="3969" w:type="dxa"/>
            <w:tcBorders>
              <w:top w:val="single" w:sz="4" w:space="0" w:color="000000"/>
              <w:start w:val="single" w:sz="4" w:space="0" w:color="000000"/>
              <w:bottom w:val="single" w:sz="4" w:space="0" w:color="000000"/>
              <w:end w:val="single" w:sz="4" w:space="0" w:color="000000"/>
            </w:tcBorders>
            <w:shd w:color="auto" w:fill="CCCCCC" w:val="clear"/>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Guidelines for type of usage </w:t>
            </w:r>
          </w:p>
          <w:p>
            <w:pPr>
              <w:pStyle w:val="Normal"/>
              <w:spacing w:lineRule="auto" w:line="257" w:before="80" w:after="80"/>
              <w:jc w:val="center"/>
              <w:rPr>
                <w:rFonts w:ascii="Verdana" w:hAnsi="Verdana" w:eastAsia="Verdana" w:cs="Verdana"/>
                <w:b/>
                <w:sz w:val="18"/>
                <w:szCs w:val="18"/>
              </w:rPr>
            </w:pPr>
            <w:r>
              <w:rPr>
                <w:rFonts w:eastAsia="Verdana" w:cs="Verdana" w:ascii="Verdana" w:hAnsi="Verdana"/>
                <w:b/>
                <w:sz w:val="18"/>
                <w:szCs w:val="18"/>
              </w:rPr>
              <w:t>OR</w:t>
            </w:r>
          </w:p>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Explanation of why type of usage </w:t>
              <w:br/>
              <w:t xml:space="preserve">is not allowed for this task </w:t>
            </w:r>
          </w:p>
        </w:tc>
        <w:tc>
          <w:tcPr>
            <w:tcW w:w="1131"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Used by student? </w:t>
            </w:r>
          </w:p>
        </w:tc>
        <w:tc>
          <w:tcPr>
            <w:tcW w:w="113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Tools used by student</w:t>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Brainstorm</w:t>
            </w:r>
            <w:r>
              <w:rPr>
                <w:rFonts w:eastAsia="Verdana" w:cs="Verdana" w:ascii="Verdana" w:hAnsi="Verdana"/>
                <w:sz w:val="18"/>
                <w:szCs w:val="18"/>
              </w:rPr>
              <w:t xml:space="preserve"> about new</w:t>
            </w:r>
            <w:r>
              <w:rPr>
                <w:rFonts w:eastAsia="Verdana" w:cs="Verdana" w:ascii="Verdana" w:hAnsi="Verdana"/>
                <w:b/>
                <w:sz w:val="18"/>
                <w:szCs w:val="18"/>
              </w:rPr>
              <w:t xml:space="preserve"> </w:t>
            </w:r>
            <w:r>
              <w:rPr>
                <w:rFonts w:eastAsia="Verdana" w:cs="Verdana" w:ascii="Verdana" w:hAnsi="Verdana"/>
                <w:sz w:val="18"/>
                <w:szCs w:val="18"/>
              </w:rPr>
              <w:t>ideas, possible approaches, etc.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5946895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97221053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76" w:before="0" w:after="0"/>
              <w:rPr>
                <w:rFonts w:ascii="Verdana" w:hAnsi="Verdana" w:eastAsia="Verdana" w:cs="Verdana"/>
                <w:sz w:val="18"/>
                <w:szCs w:val="18"/>
              </w:rPr>
            </w:pPr>
            <w:sdt>
              <w:sdtPr>
                <w:id w:val="-143081222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Why not? This is an </w:t>
            </w:r>
            <w:r>
              <w:rPr>
                <w:rFonts w:eastAsia="Verdana" w:cs="Verdana" w:ascii="Verdana" w:hAnsi="Verdana"/>
                <w:b/>
                <w:bCs/>
                <w:sz w:val="18"/>
                <w:szCs w:val="18"/>
              </w:rPr>
              <w:t>important learning objective</w:t>
            </w:r>
            <w:r>
              <w:rPr>
                <w:rFonts w:eastAsia="Verdana" w:cs="Verdana" w:ascii="Verdana" w:hAnsi="Verdana"/>
                <w:sz w:val="18"/>
                <w:szCs w:val="18"/>
              </w:rPr>
              <w:t xml:space="preserve"> in AMVR and should be done in your team. This can be tested during intermediate updates and/or defenses.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3886870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277766716"/>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As a </w:t>
            </w:r>
            <w:r>
              <w:rPr>
                <w:rFonts w:eastAsia="Verdana" w:cs="Verdana" w:ascii="Verdana" w:hAnsi="Verdana"/>
                <w:b/>
                <w:sz w:val="18"/>
                <w:szCs w:val="18"/>
              </w:rPr>
              <w:t>search tool</w:t>
            </w:r>
            <w:r>
              <w:rPr>
                <w:rFonts w:eastAsia="Verdana" w:cs="Verdana" w:ascii="Verdana" w:hAnsi="Verdana"/>
                <w:sz w:val="18"/>
                <w:szCs w:val="18"/>
              </w:rPr>
              <w:t xml:space="preserve"> to find information on a topic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7483302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50573968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6893454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Beware that </w:t>
            </w:r>
            <w:r>
              <w:rPr>
                <w:rFonts w:eastAsia="Verdana" w:cs="Verdana" w:ascii="Verdana" w:hAnsi="Verdana"/>
                <w:b/>
                <w:sz w:val="18"/>
                <w:szCs w:val="18"/>
              </w:rPr>
              <w:t>reliability</w:t>
            </w:r>
            <w:r>
              <w:rPr>
                <w:rFonts w:eastAsia="Verdana" w:cs="Verdana" w:ascii="Verdana" w:hAnsi="Verdana"/>
                <w:sz w:val="18"/>
                <w:szCs w:val="18"/>
              </w:rPr>
              <w:t xml:space="preserve"> of results cannot be guaranteed and that the ecological impact of GenAI typically exceeds that of a regular search engine. The student must always </w:t>
            </w:r>
            <w:r>
              <w:rPr>
                <w:rFonts w:eastAsia="Verdana" w:cs="Verdana" w:ascii="Verdana" w:hAnsi="Verdana"/>
                <w:b/>
                <w:sz w:val="18"/>
                <w:szCs w:val="18"/>
              </w:rPr>
              <w:t>verify</w:t>
            </w:r>
            <w:r>
              <w:rPr>
                <w:rFonts w:eastAsia="Verdana" w:cs="Verdana" w:ascii="Verdana" w:hAnsi="Verdana"/>
                <w:sz w:val="18"/>
                <w:szCs w:val="18"/>
              </w:rPr>
              <w:t xml:space="preserve"> results against non-probabilistic sources of information.  While AI can be helpful, students are expected </w:t>
            </w:r>
            <w:r>
              <w:rPr>
                <w:rFonts w:eastAsia="Verdana" w:cs="Verdana" w:ascii="Verdana" w:hAnsi="Verdana"/>
                <w:b/>
                <w:sz w:val="18"/>
                <w:szCs w:val="18"/>
              </w:rPr>
              <w:t>to gain their own insights!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5802340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b/>
                <w:sz w:val="18"/>
                <w:szCs w:val="18"/>
              </w:rPr>
            </w:pPr>
            <w:sdt>
              <w:sdtPr>
                <w:id w:val="170829227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Assist </w:t>
            </w:r>
            <w:r>
              <w:rPr>
                <w:rFonts w:eastAsia="Verdana" w:cs="Verdana" w:ascii="Verdana" w:hAnsi="Verdana"/>
                <w:sz w:val="18"/>
                <w:szCs w:val="18"/>
              </w:rPr>
              <w:t xml:space="preserve">in a </w:t>
            </w:r>
            <w:r>
              <w:rPr>
                <w:rFonts w:eastAsia="Verdana" w:cs="Verdana" w:ascii="Verdana" w:hAnsi="Verdana"/>
                <w:b/>
                <w:sz w:val="18"/>
                <w:szCs w:val="18"/>
              </w:rPr>
              <w:t>literature review</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4173214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5399034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60822830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Restricted to </w:t>
            </w:r>
            <w:r>
              <w:rPr>
                <w:rFonts w:eastAsia="Verdana" w:cs="Verdana" w:ascii="Verdana" w:hAnsi="Verdana"/>
                <w:b/>
                <w:sz w:val="18"/>
                <w:szCs w:val="18"/>
              </w:rPr>
              <w:t>searching</w:t>
            </w:r>
            <w:r>
              <w:rPr>
                <w:rFonts w:eastAsia="Verdana" w:cs="Verdana" w:ascii="Verdana" w:hAnsi="Verdana"/>
                <w:sz w:val="18"/>
                <w:szCs w:val="18"/>
              </w:rPr>
              <w:t xml:space="preserve"> for and </w:t>
            </w:r>
            <w:r>
              <w:rPr>
                <w:rFonts w:eastAsia="Verdana" w:cs="Verdana" w:ascii="Verdana" w:hAnsi="Verdana"/>
                <w:b/>
                <w:sz w:val="18"/>
                <w:szCs w:val="18"/>
              </w:rPr>
              <w:t>processing</w:t>
            </w:r>
            <w:r>
              <w:rPr>
                <w:rFonts w:eastAsia="Verdana" w:cs="Verdana" w:ascii="Verdana" w:hAnsi="Verdana"/>
                <w:sz w:val="18"/>
                <w:szCs w:val="18"/>
              </w:rPr>
              <w:t xml:space="preserve"> (summarizing, analyzing) literature. While GenAI can be helpful, students are expected </w:t>
            </w:r>
            <w:r>
              <w:rPr>
                <w:rFonts w:eastAsia="Verdana" w:cs="Verdana" w:ascii="Verdana" w:hAnsi="Verdana"/>
                <w:b/>
                <w:sz w:val="18"/>
                <w:szCs w:val="18"/>
              </w:rPr>
              <w:t>to gain their own insights</w:t>
            </w:r>
            <w:r>
              <w:rPr>
                <w:rFonts w:eastAsia="Verdana" w:cs="Verdana" w:ascii="Verdana" w:hAnsi="Verdana"/>
                <w:sz w:val="18"/>
                <w:szCs w:val="18"/>
              </w:rPr>
              <w:t xml:space="preserve"> from literature and </w:t>
            </w:r>
            <w:r>
              <w:rPr>
                <w:rFonts w:eastAsia="Verdana" w:cs="Verdana" w:ascii="Verdana" w:hAnsi="Verdana"/>
                <w:b/>
                <w:sz w:val="18"/>
                <w:szCs w:val="18"/>
              </w:rPr>
              <w:t>write the literature review themselves.</w:t>
            </w:r>
            <w:r>
              <w:rPr>
                <w:rFonts w:eastAsia="Verdana" w:cs="Verdana" w:ascii="Verdana" w:hAnsi="Verdana"/>
                <w:sz w:val="18"/>
                <w:szCs w:val="18"/>
              </w:rPr>
              <w:t xml:space="preserve"> Be aware that GenAI may hallucinate or misinterpret references, information or insights, so always </w:t>
            </w:r>
            <w:r>
              <w:rPr>
                <w:rFonts w:eastAsia="Verdana" w:cs="Verdana" w:ascii="Verdana" w:hAnsi="Verdana"/>
                <w:b/>
                <w:sz w:val="18"/>
                <w:szCs w:val="18"/>
              </w:rPr>
              <w:t>cross-verify</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8858422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7851232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Minor edits</w:t>
            </w:r>
            <w:r>
              <w:rPr>
                <w:rFonts w:eastAsia="Verdana" w:cs="Verdana" w:ascii="Verdana" w:hAnsi="Verdana"/>
                <w:sz w:val="18"/>
                <w:szCs w:val="18"/>
              </w:rPr>
              <w:t xml:space="preserve"> (spelling, grammar, punctuation, formatting)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263603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88059014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73808980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Use of GenAI is restricted to </w:t>
            </w:r>
            <w:r>
              <w:rPr>
                <w:rFonts w:eastAsia="Verdana" w:cs="Verdana" w:ascii="Verdana" w:hAnsi="Verdana"/>
                <w:b/>
                <w:sz w:val="18"/>
                <w:szCs w:val="18"/>
              </w:rPr>
              <w:t>minor edits</w:t>
            </w:r>
            <w:r>
              <w:rPr>
                <w:rFonts w:eastAsia="Verdana" w:cs="Verdana" w:ascii="Verdana" w:hAnsi="Verdana"/>
                <w:sz w:val="18"/>
                <w:szCs w:val="18"/>
              </w:rPr>
              <w:t xml:space="preserve">. The student must </w:t>
            </w:r>
            <w:r>
              <w:rPr>
                <w:rFonts w:eastAsia="Verdana" w:cs="Verdana" w:ascii="Verdana" w:hAnsi="Verdana"/>
                <w:b/>
                <w:sz w:val="18"/>
                <w:szCs w:val="18"/>
              </w:rPr>
              <w:t>verify</w:t>
            </w:r>
            <w:r>
              <w:rPr>
                <w:rFonts w:eastAsia="Verdana" w:cs="Verdana" w:ascii="Verdana" w:hAnsi="Verdana"/>
                <w:sz w:val="18"/>
                <w:szCs w:val="18"/>
              </w:rPr>
              <w:t xml:space="preserve"> these edits, as GenAI tools may be mistaken.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7576811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230149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Significant edits </w:t>
            </w:r>
            <w:r>
              <w:rPr>
                <w:rFonts w:eastAsia="Verdana" w:cs="Verdana" w:ascii="Verdana" w:hAnsi="Verdana"/>
                <w:sz w:val="18"/>
                <w:szCs w:val="18"/>
              </w:rPr>
              <w:t xml:space="preserve">or </w:t>
            </w:r>
            <w:r>
              <w:rPr>
                <w:rFonts w:eastAsia="Verdana" w:cs="Verdana" w:ascii="Verdana" w:hAnsi="Verdana"/>
                <w:b/>
                <w:sz w:val="18"/>
                <w:szCs w:val="18"/>
              </w:rPr>
              <w:t>refactoring</w:t>
            </w:r>
            <w:r>
              <w:rPr>
                <w:rFonts w:eastAsia="Verdana" w:cs="Verdana" w:ascii="Verdana" w:hAnsi="Verdana"/>
                <w:sz w:val="18"/>
                <w:szCs w:val="18"/>
              </w:rPr>
              <w:t xml:space="preserve"> impacting structure, clarity or style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3171255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25039287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7243259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The student must </w:t>
            </w:r>
            <w:r>
              <w:rPr>
                <w:rFonts w:eastAsia="Verdana" w:cs="Verdana" w:ascii="Verdana" w:hAnsi="Verdana"/>
                <w:b/>
                <w:sz w:val="18"/>
                <w:szCs w:val="18"/>
              </w:rPr>
              <w:t>critically evaluate</w:t>
            </w:r>
            <w:r>
              <w:rPr>
                <w:rFonts w:eastAsia="Verdana" w:cs="Verdana" w:ascii="Verdana" w:hAnsi="Verdana"/>
                <w:sz w:val="18"/>
                <w:szCs w:val="18"/>
              </w:rPr>
              <w:t xml:space="preserve"> suggestions made by GenAI, </w:t>
            </w:r>
            <w:r>
              <w:rPr>
                <w:rFonts w:eastAsia="Verdana" w:cs="Verdana" w:ascii="Verdana" w:hAnsi="Verdana"/>
                <w:b/>
                <w:sz w:val="18"/>
                <w:szCs w:val="18"/>
              </w:rPr>
              <w:t>verify</w:t>
            </w:r>
            <w:r>
              <w:rPr>
                <w:rFonts w:eastAsia="Verdana" w:cs="Verdana" w:ascii="Verdana" w:hAnsi="Verdana"/>
                <w:sz w:val="18"/>
                <w:szCs w:val="18"/>
              </w:rPr>
              <w:t xml:space="preserve"> all edits and ensure that edits </w:t>
            </w:r>
            <w:r>
              <w:rPr>
                <w:rFonts w:eastAsia="Verdana" w:cs="Verdana" w:ascii="Verdana" w:hAnsi="Verdana"/>
                <w:b/>
                <w:sz w:val="18"/>
                <w:szCs w:val="18"/>
              </w:rPr>
              <w:t xml:space="preserve">do not go beyond </w:t>
            </w:r>
            <w:r>
              <w:rPr>
                <w:rFonts w:eastAsia="Verdana" w:cs="Verdana" w:ascii="Verdana" w:hAnsi="Verdana"/>
                <w:sz w:val="18"/>
                <w:szCs w:val="18"/>
              </w:rPr>
              <w:t>or</w:t>
            </w:r>
            <w:r>
              <w:rPr>
                <w:rFonts w:eastAsia="Verdana" w:cs="Verdana" w:ascii="Verdana" w:hAnsi="Verdana"/>
                <w:b/>
                <w:sz w:val="18"/>
                <w:szCs w:val="18"/>
              </w:rPr>
              <w:t xml:space="preserve"> alter the meaning or approach</w:t>
            </w:r>
            <w:r>
              <w:rPr>
                <w:rFonts w:eastAsia="Verdana" w:cs="Verdana" w:ascii="Verdana" w:hAnsi="Verdana"/>
                <w:sz w:val="18"/>
                <w:szCs w:val="18"/>
              </w:rPr>
              <w:t xml:space="preserve"> of the original content.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6541020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0184183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w:t>
            </w:r>
            <w:r>
              <w:rPr>
                <w:rFonts w:eastAsia="Verdana" w:cs="Verdana" w:ascii="Verdana" w:hAnsi="Verdana"/>
                <w:b/>
                <w:sz w:val="18"/>
                <w:szCs w:val="18"/>
              </w:rPr>
              <w:t xml:space="preserve">visuals </w:t>
            </w:r>
            <w:r>
              <w:rPr>
                <w:rFonts w:eastAsia="Verdana" w:cs="Verdana" w:ascii="Verdana" w:hAnsi="Verdana"/>
                <w:sz w:val="18"/>
                <w:szCs w:val="18"/>
              </w:rPr>
              <w:t>(e.g., diagrams, graphs or other data visualizations, design mockups, sketches, videos, animations)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96060742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12572905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8531336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actual content and decisions (e.g., choosing appropriate visualizations, the script, design ideas) must come from the student. 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visuals and ensuring </w:t>
            </w:r>
            <w:r>
              <w:rPr>
                <w:rFonts w:eastAsia="Verdana" w:cs="Verdana" w:ascii="Verdana" w:hAnsi="Verdana"/>
                <w:b/>
                <w:sz w:val="18"/>
                <w:szCs w:val="18"/>
              </w:rPr>
              <w:t>originality</w:t>
            </w:r>
            <w:r>
              <w:rPr>
                <w:rFonts w:eastAsia="Verdana" w:cs="Verdana" w:ascii="Verdana" w:hAnsi="Verdana"/>
                <w:sz w:val="18"/>
                <w:szCs w:val="18"/>
              </w:rPr>
              <w:t xml:space="preserve"> (not infringing on copyrighted or proprietary material). Visuals must </w:t>
            </w:r>
            <w:r>
              <w:rPr>
                <w:rFonts w:eastAsia="Verdana" w:cs="Verdana" w:ascii="Verdana" w:hAnsi="Verdana"/>
                <w:b/>
                <w:sz w:val="18"/>
                <w:szCs w:val="18"/>
              </w:rPr>
              <w:t>truthfully represent</w:t>
            </w:r>
            <w:r>
              <w:rPr>
                <w:rFonts w:eastAsia="Verdana" w:cs="Verdana" w:ascii="Verdana" w:hAnsi="Verdana"/>
                <w:sz w:val="18"/>
                <w:szCs w:val="18"/>
              </w:rPr>
              <w:t xml:space="preserve"> the underlying reality (if there is one). This is especially important for AMVR demo videos, which cannot be generated or altered to misrepresent your work!</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03749615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61024888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fragments of </w:t>
            </w:r>
            <w:r>
              <w:rPr>
                <w:rFonts w:eastAsia="Verdana" w:cs="Verdana" w:ascii="Verdana" w:hAnsi="Verdana"/>
                <w:b/>
                <w:sz w:val="18"/>
                <w:szCs w:val="18"/>
              </w:rPr>
              <w:t>boilerplate code</w:t>
            </w:r>
            <w:r>
              <w:rPr>
                <w:rFonts w:eastAsia="Verdana" w:cs="Verdana" w:ascii="Verdana" w:hAnsi="Verdana"/>
                <w:sz w:val="18"/>
                <w:szCs w:val="18"/>
              </w:rPr>
              <w:t xml:space="preserve"> (e.g., scripts to parse files, process and analyze data, perform basic calculations)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6562502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92422227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41793859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must </w:t>
            </w:r>
            <w:r>
              <w:rPr>
                <w:rFonts w:eastAsia="Verdana" w:cs="Verdana" w:ascii="Verdana" w:hAnsi="Verdana"/>
                <w:b/>
                <w:sz w:val="18"/>
                <w:szCs w:val="18"/>
              </w:rPr>
              <w:t>verify</w:t>
            </w:r>
            <w:r>
              <w:rPr>
                <w:rFonts w:eastAsia="Verdana" w:cs="Verdana" w:ascii="Verdana" w:hAnsi="Verdana"/>
                <w:sz w:val="18"/>
                <w:szCs w:val="18"/>
              </w:rPr>
              <w:t xml:space="preserve">, </w:t>
            </w:r>
            <w:r>
              <w:rPr>
                <w:rFonts w:eastAsia="Verdana" w:cs="Verdana" w:ascii="Verdana" w:hAnsi="Verdana"/>
                <w:b/>
                <w:sz w:val="18"/>
                <w:szCs w:val="18"/>
              </w:rPr>
              <w:t xml:space="preserve">understand </w:t>
            </w:r>
            <w:r>
              <w:rPr>
                <w:rFonts w:eastAsia="Verdana" w:cs="Verdana" w:ascii="Verdana" w:hAnsi="Verdana"/>
                <w:sz w:val="18"/>
                <w:szCs w:val="18"/>
              </w:rPr>
              <w:t xml:space="preserve">and be able to </w:t>
            </w:r>
            <w:r>
              <w:rPr>
                <w:rFonts w:eastAsia="Verdana" w:cs="Verdana" w:ascii="Verdana" w:hAnsi="Verdana"/>
                <w:b/>
                <w:sz w:val="18"/>
                <w:szCs w:val="18"/>
              </w:rPr>
              <w:t xml:space="preserve">explain </w:t>
            </w:r>
            <w:r>
              <w:rPr>
                <w:rFonts w:eastAsia="Verdana" w:cs="Verdana" w:ascii="Verdana" w:hAnsi="Verdana"/>
                <w:sz w:val="18"/>
                <w:szCs w:val="18"/>
              </w:rPr>
              <w:t xml:space="preserve">any code (and the underlying choices) submitted. Beware that GenAI often generates buggy or suboptimal solutions. Core aspects of AMVR portfolio tasks are </w:t>
            </w:r>
            <w:r>
              <w:rPr>
                <w:rFonts w:eastAsia="Verdana" w:cs="Verdana" w:ascii="Verdana" w:hAnsi="Verdana"/>
                <w:b/>
                <w:bCs/>
                <w:sz w:val="18"/>
                <w:szCs w:val="18"/>
              </w:rPr>
              <w:t>never</w:t>
            </w:r>
            <w:r>
              <w:rPr>
                <w:rFonts w:eastAsia="Verdana" w:cs="Verdana" w:ascii="Verdana" w:hAnsi="Verdana"/>
                <w:sz w:val="18"/>
                <w:szCs w:val="18"/>
              </w:rPr>
              <w:t xml:space="preserve"> considered boilerplate. Boilerplate code can never be more than a </w:t>
            </w:r>
            <w:r>
              <w:rPr>
                <w:rFonts w:eastAsia="Verdana" w:cs="Verdana" w:ascii="Verdana" w:hAnsi="Verdana"/>
                <w:b/>
                <w:bCs/>
                <w:sz w:val="18"/>
                <w:szCs w:val="18"/>
              </w:rPr>
              <w:t>minor, trivial part</w:t>
            </w:r>
            <w:r>
              <w:rPr>
                <w:rFonts w:eastAsia="Verdana" w:cs="Verdana" w:ascii="Verdana" w:hAnsi="Verdana"/>
                <w:sz w:val="18"/>
                <w:szCs w:val="18"/>
              </w:rPr>
              <w:t xml:space="preserve"> of the entire solution!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4279189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9902319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Translate</w:t>
            </w:r>
            <w:r>
              <w:rPr>
                <w:rFonts w:eastAsia="Verdana" w:cs="Verdana" w:ascii="Verdana" w:hAnsi="Verdana"/>
                <w:sz w:val="18"/>
                <w:szCs w:val="18"/>
              </w:rPr>
              <w:t xml:space="preserve"> written content or </w:t>
            </w:r>
            <w:r>
              <w:rPr>
                <w:rFonts w:eastAsia="Verdana" w:cs="Verdana" w:ascii="Verdana" w:hAnsi="Verdana"/>
                <w:b/>
                <w:sz w:val="18"/>
                <w:szCs w:val="18"/>
              </w:rPr>
              <w:t>transcribe</w:t>
            </w:r>
            <w:r>
              <w:rPr>
                <w:rFonts w:eastAsia="Verdana" w:cs="Verdana" w:ascii="Verdana" w:hAnsi="Verdana"/>
                <w:sz w:val="18"/>
                <w:szCs w:val="18"/>
              </w:rPr>
              <w:t xml:space="preserve"> oral content (e.g., interviews)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8782663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5451375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2677912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output for accuracy, tone and context. To transcribe oral content, ensure consent has been obtained. </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5594556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1545511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Ask for feedback </w:t>
            </w:r>
          </w:p>
          <w:p>
            <w:pPr>
              <w:pStyle w:val="Normal"/>
              <w:spacing w:lineRule="auto" w:line="257" w:before="0" w:after="0"/>
              <w:jc w:val="center"/>
              <w:rPr>
                <w:rFonts w:ascii="Verdana" w:hAnsi="Verdana" w:eastAsia="Verdana" w:cs="Verdana"/>
                <w:b/>
                <w:sz w:val="18"/>
                <w:szCs w:val="18"/>
              </w:rPr>
            </w:pPr>
            <w:r>
              <w:rPr>
                <w:rFonts w:eastAsia="Verdana" w:cs="Verdana" w:ascii="Verdana" w:hAnsi="Verdana"/>
                <w:sz w:val="18"/>
                <w:szCs w:val="18"/>
              </w:rPr>
              <w:t>on your work</w:t>
            </w:r>
            <w:r>
              <w:rPr>
                <w:rFonts w:eastAsia="Verdana" w:cs="Verdana" w:ascii="Verdana" w:hAnsi="Verdana"/>
                <w:b/>
                <w:sz w:val="18"/>
                <w:szCs w:val="18"/>
              </w:rPr>
              <w:t xml:space="preserve"> </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605796491"/>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4231866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b/>
                <w:sz w:val="18"/>
                <w:szCs w:val="18"/>
              </w:rPr>
            </w:pPr>
            <w:sdt>
              <w:sdtPr>
                <w:id w:val="13761655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student must </w:t>
            </w:r>
            <w:r>
              <w:rPr>
                <w:rFonts w:eastAsia="Verdana" w:cs="Verdana" w:ascii="Verdana" w:hAnsi="Verdana"/>
                <w:b/>
                <w:sz w:val="18"/>
                <w:szCs w:val="18"/>
              </w:rPr>
              <w:t>critically reflect</w:t>
            </w:r>
            <w:r>
              <w:rPr>
                <w:rFonts w:eastAsia="Verdana" w:cs="Verdana" w:ascii="Verdana" w:hAnsi="Verdana"/>
                <w:sz w:val="18"/>
                <w:szCs w:val="18"/>
              </w:rPr>
              <w:t xml:space="preserve"> on feedback they receive before processing it in accordance with the other types of usage. Beware that GenAI can generate feedback that does </w:t>
            </w:r>
            <w:r>
              <w:rPr>
                <w:rFonts w:eastAsia="Verdana" w:cs="Verdana" w:ascii="Verdana" w:hAnsi="Verdana"/>
                <w:b/>
                <w:sz w:val="18"/>
                <w:szCs w:val="18"/>
              </w:rPr>
              <w:t>not adhere to the task’s guidelines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8861255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i/>
                <w:i/>
                <w:sz w:val="18"/>
                <w:szCs w:val="18"/>
              </w:rPr>
            </w:pPr>
            <w:sdt>
              <w:sdtPr>
                <w:id w:val="101404336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i/>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Generate entire solutions</w:t>
            </w:r>
            <w:r>
              <w:rPr>
                <w:rFonts w:eastAsia="Verdana" w:cs="Verdana" w:ascii="Verdana" w:hAnsi="Verdana"/>
                <w:sz w:val="18"/>
                <w:szCs w:val="18"/>
              </w:rPr>
              <w:t xml:space="preserve"> or</w:t>
            </w:r>
            <w:r>
              <w:rPr/>
              <w:t xml:space="preserve"> </w:t>
            </w:r>
            <w:r>
              <w:rPr>
                <w:rFonts w:eastAsia="Verdana" w:cs="Verdana" w:ascii="Verdana" w:hAnsi="Verdana"/>
                <w:b/>
                <w:sz w:val="18"/>
                <w:szCs w:val="18"/>
              </w:rPr>
              <w:t>blocks of content</w:t>
            </w:r>
            <w:r>
              <w:rPr>
                <w:rFonts w:eastAsia="Verdana" w:cs="Verdana" w:ascii="Verdana" w:hAnsi="Verdana"/>
                <w:sz w:val="18"/>
                <w:szCs w:val="18"/>
              </w:rPr>
              <w:t xml:space="preserve"> (e.g., full paragraphs of text or complete calculations, algorithms or designs that are a subject of evaluation)</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NOT </w:t>
              <w:br/>
              <w:t>ALLOWED</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sz w:val="18"/>
                <w:szCs w:val="18"/>
              </w:rPr>
              <w:t xml:space="preserve">The exam regulations state that in evaluating the student’s work, the instructor must be able to correctly judge the student’s </w:t>
            </w:r>
            <w:r>
              <w:rPr>
                <w:rFonts w:eastAsia="Verdana" w:cs="Verdana" w:ascii="Verdana" w:hAnsi="Verdana"/>
                <w:b/>
                <w:sz w:val="18"/>
                <w:szCs w:val="18"/>
              </w:rPr>
              <w:t>own knowledge, understanding and skills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Not</w:t>
              <w:br/>
              <w:t>applicable</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Not </w:t>
              <w:br/>
              <w:t>applicable</w:t>
            </w:r>
          </w:p>
        </w:tc>
      </w:tr>
    </w:tbl>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r>
        <w:br w:type="page"/>
      </w:r>
    </w:p>
    <w:tbl>
      <w:tblPr>
        <w:tblStyle w:val="a3"/>
        <w:tblpPr w:vertAnchor="page" w:horzAnchor="margin" w:tblpXSpec="center" w:bottomFromText="160" w:leftFromText="141" w:rightFromText="141" w:tblpY="1456"/>
        <w:tblW w:w="10772"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10772"/>
      </w:tblGrid>
      <w:tr>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t>I hereby confirm that: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did not use GenAI assistance related </w:t>
            </w:r>
            <w:r>
              <w:rPr>
                <w:rFonts w:eastAsia="Verdana" w:cs="Verdana" w:ascii="Verdana" w:hAnsi="Verdana"/>
                <w:b/>
                <w:sz w:val="18"/>
                <w:szCs w:val="18"/>
              </w:rPr>
              <w:t xml:space="preserve">to data or subjects under a Non-Disclosure Agreement or related to sensitive or personal data due to privacy reasons. </w:t>
            </w:r>
            <w:r>
              <w:rPr>
                <w:rFonts w:eastAsia="Verdana" w:cs="Verdana" w:ascii="Verdana" w:hAnsi="Verdana"/>
                <w:sz w:val="18"/>
                <w:szCs w:val="18"/>
              </w:rPr>
              <w:t>I obtained permission from the instructor, supervisor or external party to input the given data into a GenAI tool.</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The submitted work </w:t>
            </w:r>
            <w:r>
              <w:rPr>
                <w:rFonts w:eastAsia="Verdana" w:cs="Verdana" w:ascii="Verdana" w:hAnsi="Verdana"/>
                <w:b/>
                <w:sz w:val="18"/>
                <w:szCs w:val="18"/>
              </w:rPr>
              <w:t>reflects my own knowledge, understanding and skills</w:t>
            </w:r>
            <w:r>
              <w:rPr>
                <w:rFonts w:eastAsia="Verdana" w:cs="Verdana" w:ascii="Verdana" w:hAnsi="Verdana"/>
                <w:sz w:val="18"/>
                <w:szCs w:val="18"/>
              </w:rPr>
              <w:t xml:space="preserve">. I am aware that the instructor may </w:t>
            </w:r>
            <w:r>
              <w:rPr>
                <w:rFonts w:eastAsia="Verdana" w:cs="Verdana" w:ascii="Verdana" w:hAnsi="Verdana"/>
                <w:b/>
                <w:sz w:val="18"/>
                <w:szCs w:val="18"/>
              </w:rPr>
              <w:t>double-check</w:t>
            </w:r>
            <w:r>
              <w:rPr>
                <w:rFonts w:eastAsia="Verdana" w:cs="Verdana" w:ascii="Verdana" w:hAnsi="Verdana"/>
                <w:sz w:val="18"/>
                <w:szCs w:val="18"/>
              </w:rPr>
              <w:t xml:space="preserve"> my knowledge, understanding and skills in a format that excludes GenAI usage, such as</w:t>
            </w:r>
            <w:r>
              <w:rPr>
                <w:rFonts w:eastAsia="Verdana" w:cs="Verdana" w:ascii="Verdana" w:hAnsi="Verdana"/>
                <w:b/>
                <w:sz w:val="18"/>
                <w:szCs w:val="18"/>
              </w:rPr>
              <w:t xml:space="preserve"> an oral discussion or a supervised (hand-)written task</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adopted a </w:t>
            </w:r>
            <w:r>
              <w:rPr>
                <w:rFonts w:eastAsia="Verdana" w:cs="Verdana" w:ascii="Verdana" w:hAnsi="Verdana"/>
                <w:b/>
                <w:sz w:val="18"/>
                <w:szCs w:val="18"/>
              </w:rPr>
              <w:t>critical and scientific attitude</w:t>
            </w:r>
            <w:r>
              <w:rPr>
                <w:rFonts w:eastAsia="Verdana" w:cs="Verdana" w:ascii="Verdana" w:hAnsi="Verdana"/>
                <w:sz w:val="18"/>
                <w:szCs w:val="18"/>
              </w:rPr>
              <w:t xml:space="preserve"> when interacting with GenAI. I am aware of GenAI’s tendencies to hallucinate, mislead, please, exhibit biases, etc. and that GenAI can generate results that do not adhere to the </w:t>
            </w:r>
            <w:r>
              <w:rPr>
                <w:rFonts w:eastAsia="Verdana" w:cs="Verdana" w:ascii="Verdana" w:hAnsi="Verdana"/>
                <w:b/>
                <w:sz w:val="18"/>
                <w:szCs w:val="18"/>
              </w:rPr>
              <w:t>task’s guidelines</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always bear </w:t>
            </w:r>
            <w:r>
              <w:rPr>
                <w:rFonts w:eastAsia="Verdana" w:cs="Verdana" w:ascii="Verdana" w:hAnsi="Verdana"/>
                <w:b/>
                <w:sz w:val="18"/>
                <w:szCs w:val="18"/>
              </w:rPr>
              <w:t>full responsibility</w:t>
            </w:r>
            <w:r>
              <w:rPr>
                <w:rFonts w:eastAsia="Verdana" w:cs="Verdana" w:ascii="Verdana" w:hAnsi="Verdana"/>
                <w:sz w:val="18"/>
                <w:szCs w:val="18"/>
              </w:rPr>
              <w:t xml:space="preserve"> for the content of the work I submit. Possible errors or mistakes cannot be attributed to the GenAI tools used.</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more information on the </w:t>
            </w:r>
            <w:r>
              <w:rPr>
                <w:rFonts w:eastAsia="Verdana" w:cs="Verdana" w:ascii="Verdana" w:hAnsi="Verdana"/>
                <w:b/>
                <w:sz w:val="18"/>
                <w:szCs w:val="18"/>
              </w:rPr>
              <w:t>usage of GenAI</w:t>
            </w:r>
            <w:r>
              <w:rPr>
                <w:rFonts w:eastAsia="Verdana" w:cs="Verdana" w:ascii="Verdana" w:hAnsi="Verdana"/>
                <w:sz w:val="18"/>
                <w:szCs w:val="18"/>
              </w:rPr>
              <w:t xml:space="preserve"> can be found here:</w:t>
            </w:r>
            <w:r>
              <w:rPr/>
              <w:t xml:space="preserve"> </w:t>
            </w:r>
            <w:hyperlink r:id="rId2">
              <w:r>
                <w:rPr>
                  <w:rStyle w:val="Hyperlink"/>
                  <w:rFonts w:eastAsia="Verdana" w:cs="Verdana" w:ascii="Verdana" w:hAnsi="Verdana"/>
                  <w:sz w:val="18"/>
                  <w:szCs w:val="18"/>
                </w:rPr>
                <w:t>UHasselt</w:t>
              </w:r>
            </w:hyperlink>
            <w:r>
              <w:rPr>
                <w:rFonts w:eastAsia="Verdana" w:cs="Verdana" w:ascii="Verdana" w:hAnsi="Verdana"/>
                <w:sz w:val="18"/>
                <w:szCs w:val="18"/>
              </w:rPr>
              <w:t xml:space="preserve"> and </w:t>
            </w:r>
            <w:hyperlink r:id="rId3">
              <w:r>
                <w:rPr>
                  <w:rStyle w:val="Hyperlink"/>
                  <w:rFonts w:eastAsia="Verdana" w:cs="Verdana" w:ascii="Verdana" w:hAnsi="Verdana"/>
                  <w:sz w:val="18"/>
                  <w:szCs w:val="18"/>
                </w:rPr>
                <w:t>KU Leuven</w:t>
              </w:r>
            </w:hyperlink>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should always </w:t>
            </w:r>
            <w:r>
              <w:rPr>
                <w:rFonts w:eastAsia="Verdana" w:cs="Verdana" w:ascii="Verdana" w:hAnsi="Verdana"/>
                <w:b/>
                <w:sz w:val="18"/>
                <w:szCs w:val="18"/>
              </w:rPr>
              <w:t>consult with the instructor</w:t>
            </w:r>
            <w:r>
              <w:rPr>
                <w:rFonts w:eastAsia="Verdana" w:cs="Verdana" w:ascii="Verdana" w:hAnsi="Verdana"/>
                <w:sz w:val="18"/>
                <w:szCs w:val="18"/>
              </w:rPr>
              <w:t xml:space="preserve"> in case of doubt. GenAI tools evolve rapidly and new possibilities may entail novel forms of regulatory uncertainty that are best addressed openly and transparently.</w:t>
            </w:r>
          </w:p>
        </w:tc>
      </w:tr>
      <w:tr>
        <w:trPr>
          <w:trHeight w:val="378" w:hRule="atLeast"/>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name: Vince Driesen</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Student number: 2261302 </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11">
                      <wp:simplePos x="0" y="0"/>
                      <wp:positionH relativeFrom="column">
                        <wp:posOffset>1440180</wp:posOffset>
                      </wp:positionH>
                      <wp:positionV relativeFrom="paragraph">
                        <wp:posOffset>56515</wp:posOffset>
                      </wp:positionV>
                      <wp:extent cx="1548130" cy="886460"/>
                      <wp:effectExtent l="635" t="635" r="635" b="635"/>
                      <wp:wrapNone/>
                      <wp:docPr id="1" name="Bézier curve 7"/>
                      <a:graphic xmlns:a="http://schemas.openxmlformats.org/drawingml/2006/main">
                        <a:graphicData uri="http://schemas.microsoft.com/office/word/2010/wordprocessingShape">
                          <wps:wsp>
                            <wps:cNvSpPr/>
                            <wps:spPr>
                              <a:xfrm>
                                <a:off x="0" y="0"/>
                                <a:ext cx="1548000" cy="886320"/>
                              </a:xfrm>
                              <a:custGeom>
                                <a:avLst/>
                                <a:gdLst>
                                  <a:gd name="textAreaLeft" fmla="*/ 0 w 877680"/>
                                  <a:gd name="textAreaRight" fmla="*/ 878400 w 877680"/>
                                  <a:gd name="textAreaTop" fmla="*/ 0 h 502560"/>
                                  <a:gd name="textAreaBottom" fmla="*/ 503280 h 502560"/>
                                </a:gdLst>
                                <a:ahLst/>
                                <a:cxnLst/>
                                <a:rect l="textAreaLeft" t="textAreaTop" r="textAreaRight" b="textAreaBottom"/>
                                <a:pathLst>
                                  <a:path fill="none" w="4300" h="2462">
                                    <a:moveTo>
                                      <a:pt x="3229" y="1955"/>
                                    </a:moveTo>
                                    <a:cubicBezTo>
                                      <a:pt x="2921" y="1927"/>
                                      <a:pt x="2622" y="2006"/>
                                      <a:pt x="2316" y="2018"/>
                                    </a:cubicBezTo>
                                    <a:cubicBezTo>
                                      <a:pt x="1880" y="2036"/>
                                      <a:pt x="1444" y="2125"/>
                                      <a:pt x="1024" y="2239"/>
                                    </a:cubicBezTo>
                                    <a:cubicBezTo>
                                      <a:pt x="779" y="2305"/>
                                      <a:pt x="520" y="2323"/>
                                      <a:pt x="284" y="2412"/>
                                    </a:cubicBezTo>
                                    <a:cubicBezTo>
                                      <a:pt x="-468" y="2694"/>
                                      <a:pt x="480" y="1733"/>
                                      <a:pt x="740" y="1546"/>
                                    </a:cubicBezTo>
                                    <a:cubicBezTo>
                                      <a:pt x="1349" y="1108"/>
                                      <a:pt x="1891" y="551"/>
                                      <a:pt x="2631" y="318"/>
                                    </a:cubicBezTo>
                                    <a:cubicBezTo>
                                      <a:pt x="3152" y="154"/>
                                      <a:pt x="3677" y="-17"/>
                                      <a:pt x="4222" y="2"/>
                                    </a:cubicBezTo>
                                    <a:lnTo>
                                      <a:pt x="4300" y="2"/>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Date: </w:t>
            </w:r>
            <w:r>
              <w:rPr>
                <w:rFonts w:eastAsia="Verdana" w:cs="Verdana" w:ascii="Verdana" w:hAnsi="Verdana"/>
                <w:sz w:val="18"/>
                <w:szCs w:val="18"/>
              </w:rPr>
              <w:t>01</w:t>
            </w:r>
            <w:r>
              <w:rPr>
                <w:rFonts w:eastAsia="Verdana" w:cs="Verdana" w:ascii="Verdana" w:hAnsi="Verdana"/>
                <w:sz w:val="18"/>
                <w:szCs w:val="18"/>
              </w:rPr>
              <w:t>/</w:t>
            </w:r>
            <w:r>
              <w:rPr>
                <w:rFonts w:eastAsia="Verdana" w:cs="Verdana" w:ascii="Verdana" w:hAnsi="Verdana"/>
                <w:sz w:val="18"/>
                <w:szCs w:val="18"/>
              </w:rPr>
              <w:t>10</w:t>
            </w:r>
            <w:r>
              <w:rPr>
                <w:rFonts w:eastAsia="Verdana" w:cs="Verdana" w:ascii="Verdana" w:hAnsi="Verdana"/>
                <w:sz w:val="18"/>
                <w:szCs w:val="18"/>
              </w:rPr>
              <w:t>/2025</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5">
                      <wp:simplePos x="0" y="0"/>
                      <wp:positionH relativeFrom="column">
                        <wp:posOffset>1332865</wp:posOffset>
                      </wp:positionH>
                      <wp:positionV relativeFrom="paragraph">
                        <wp:posOffset>100330</wp:posOffset>
                      </wp:positionV>
                      <wp:extent cx="436880" cy="497840"/>
                      <wp:effectExtent l="635" t="635" r="635" b="635"/>
                      <wp:wrapNone/>
                      <wp:docPr id="2" name="Bézier curve 1"/>
                      <a:graphic xmlns:a="http://schemas.openxmlformats.org/drawingml/2006/main">
                        <a:graphicData uri="http://schemas.microsoft.com/office/word/2010/wordprocessingShape">
                          <wps:wsp>
                            <wps:cNvSpPr/>
                            <wps:spPr>
                              <a:xfrm>
                                <a:off x="0" y="0"/>
                                <a:ext cx="437040" cy="497880"/>
                              </a:xfrm>
                              <a:custGeom>
                                <a:avLst/>
                                <a:gdLst>
                                  <a:gd name="textAreaLeft" fmla="*/ 0 w 247680"/>
                                  <a:gd name="textAreaRight" fmla="*/ 248400 w 247680"/>
                                  <a:gd name="textAreaTop" fmla="*/ 0 h 282240"/>
                                  <a:gd name="textAreaBottom" fmla="*/ 282960 h 282240"/>
                                </a:gdLst>
                                <a:ahLst/>
                                <a:cxnLst/>
                                <a:rect l="textAreaLeft" t="textAreaTop" r="textAreaRight" b="textAreaBottom"/>
                                <a:pathLst>
                                  <a:path fill="none" w="1214" h="1383">
                                    <a:moveTo>
                                      <a:pt x="0" y="204"/>
                                    </a:moveTo>
                                    <a:cubicBezTo>
                                      <a:pt x="113" y="554"/>
                                      <a:pt x="332" y="867"/>
                                      <a:pt x="410" y="1227"/>
                                    </a:cubicBezTo>
                                    <a:cubicBezTo>
                                      <a:pt x="553" y="1891"/>
                                      <a:pt x="835" y="202"/>
                                      <a:pt x="757" y="536"/>
                                    </a:cubicBezTo>
                                    <a:lnTo>
                                      <a:pt x="930" y="204"/>
                                    </a:lnTo>
                                    <a:lnTo>
                                      <a:pt x="1071" y="47"/>
                                    </a:lnTo>
                                    <a:lnTo>
                                      <a:pt x="1214" y="0"/>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Student signature:  </w: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6">
                      <wp:simplePos x="0" y="0"/>
                      <wp:positionH relativeFrom="column">
                        <wp:posOffset>1644650</wp:posOffset>
                      </wp:positionH>
                      <wp:positionV relativeFrom="paragraph">
                        <wp:posOffset>92075</wp:posOffset>
                      </wp:positionV>
                      <wp:extent cx="141605" cy="215900"/>
                      <wp:effectExtent l="635" t="635" r="635" b="635"/>
                      <wp:wrapNone/>
                      <wp:docPr id="3" name="Bézier curve 2"/>
                      <a:graphic xmlns:a="http://schemas.openxmlformats.org/drawingml/2006/main">
                        <a:graphicData uri="http://schemas.microsoft.com/office/word/2010/wordprocessingShape">
                          <wps:wsp>
                            <wps:cNvSpPr/>
                            <wps:spPr>
                              <a:xfrm>
                                <a:off x="0" y="0"/>
                                <a:ext cx="141480" cy="216000"/>
                              </a:xfrm>
                              <a:custGeom>
                                <a:avLst/>
                                <a:gdLst>
                                  <a:gd name="textAreaLeft" fmla="*/ 0 w 80280"/>
                                  <a:gd name="textAreaRight" fmla="*/ 81000 w 80280"/>
                                  <a:gd name="textAreaTop" fmla="*/ 0 h 122400"/>
                                  <a:gd name="textAreaBottom" fmla="*/ 123120 h 122400"/>
                                </a:gdLst>
                                <a:ahLst/>
                                <a:cxnLst/>
                                <a:rect l="textAreaLeft" t="textAreaTop" r="textAreaRight" b="textAreaBottom"/>
                                <a:pathLst>
                                  <a:path fill="none" w="393" h="600">
                                    <a:moveTo>
                                      <a:pt x="1" y="0"/>
                                    </a:moveTo>
                                    <a:cubicBezTo>
                                      <a:pt x="20" y="162"/>
                                      <a:pt x="22" y="328"/>
                                      <a:pt x="64" y="489"/>
                                    </a:cubicBezTo>
                                    <a:lnTo>
                                      <a:pt x="221" y="600"/>
                                    </a:lnTo>
                                    <a:lnTo>
                                      <a:pt x="378" y="425"/>
                                    </a:lnTo>
                                    <a:lnTo>
                                      <a:pt x="394" y="36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7">
                      <wp:simplePos x="0" y="0"/>
                      <wp:positionH relativeFrom="column">
                        <wp:posOffset>1837690</wp:posOffset>
                      </wp:positionH>
                      <wp:positionV relativeFrom="paragraph">
                        <wp:posOffset>92075</wp:posOffset>
                      </wp:positionV>
                      <wp:extent cx="34925" cy="210185"/>
                      <wp:effectExtent l="635" t="635" r="635" b="635"/>
                      <wp:wrapNone/>
                      <wp:docPr id="4" name="Bézier curve 3"/>
                      <a:graphic xmlns:a="http://schemas.openxmlformats.org/drawingml/2006/main">
                        <a:graphicData uri="http://schemas.microsoft.com/office/word/2010/wordprocessingShape">
                          <wps:wsp>
                            <wps:cNvSpPr/>
                            <wps:spPr>
                              <a:xfrm>
                                <a:off x="0" y="0"/>
                                <a:ext cx="34920" cy="210240"/>
                              </a:xfrm>
                              <a:custGeom>
                                <a:avLst/>
                                <a:gdLst>
                                  <a:gd name="textAreaLeft" fmla="*/ 0 w 19800"/>
                                  <a:gd name="textAreaRight" fmla="*/ 20520 w 19800"/>
                                  <a:gd name="textAreaTop" fmla="*/ 0 h 119160"/>
                                  <a:gd name="textAreaBottom" fmla="*/ 119880 h 119160"/>
                                </a:gdLst>
                                <a:ahLst/>
                                <a:cxnLst/>
                                <a:rect l="textAreaLeft" t="textAreaTop" r="textAreaRight" b="textAreaBottom"/>
                                <a:pathLst>
                                  <a:path fill="none" w="97" h="584">
                                    <a:moveTo>
                                      <a:pt x="0" y="0"/>
                                    </a:moveTo>
                                    <a:cubicBezTo>
                                      <a:pt x="74" y="150"/>
                                      <a:pt x="107" y="321"/>
                                      <a:pt x="93" y="489"/>
                                    </a:cubicBezTo>
                                    <a:lnTo>
                                      <a:pt x="93" y="58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8">
                      <wp:simplePos x="0" y="0"/>
                      <wp:positionH relativeFrom="column">
                        <wp:posOffset>1887855</wp:posOffset>
                      </wp:positionH>
                      <wp:positionV relativeFrom="paragraph">
                        <wp:posOffset>55880</wp:posOffset>
                      </wp:positionV>
                      <wp:extent cx="162560" cy="268605"/>
                      <wp:effectExtent l="635" t="635" r="635" b="635"/>
                      <wp:wrapNone/>
                      <wp:docPr id="5" name="Bézier curve 4"/>
                      <a:graphic xmlns:a="http://schemas.openxmlformats.org/drawingml/2006/main">
                        <a:graphicData uri="http://schemas.microsoft.com/office/word/2010/wordprocessingShape">
                          <wps:wsp>
                            <wps:cNvSpPr/>
                            <wps:spPr>
                              <a:xfrm>
                                <a:off x="0" y="0"/>
                                <a:ext cx="162720" cy="268560"/>
                              </a:xfrm>
                              <a:custGeom>
                                <a:avLst/>
                                <a:gdLst>
                                  <a:gd name="textAreaLeft" fmla="*/ 0 w 92160"/>
                                  <a:gd name="textAreaRight" fmla="*/ 92880 w 92160"/>
                                  <a:gd name="textAreaTop" fmla="*/ 0 h 152280"/>
                                  <a:gd name="textAreaBottom" fmla="*/ 153000 h 152280"/>
                                </a:gdLst>
                                <a:ahLst/>
                                <a:cxnLst/>
                                <a:rect l="textAreaLeft" t="textAreaTop" r="textAreaRight" b="textAreaBottom"/>
                                <a:pathLst>
                                  <a:path fill="none" w="452" h="746">
                                    <a:moveTo>
                                      <a:pt x="2" y="306"/>
                                    </a:moveTo>
                                    <a:cubicBezTo>
                                      <a:pt x="-28" y="89"/>
                                      <a:pt x="258" y="-77"/>
                                      <a:pt x="379" y="39"/>
                                    </a:cubicBezTo>
                                    <a:cubicBezTo>
                                      <a:pt x="492" y="147"/>
                                      <a:pt x="448" y="353"/>
                                      <a:pt x="411" y="512"/>
                                    </a:cubicBezTo>
                                    <a:lnTo>
                                      <a:pt x="411" y="669"/>
                                    </a:lnTo>
                                    <a:lnTo>
                                      <a:pt x="411" y="747"/>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9">
                      <wp:simplePos x="0" y="0"/>
                      <wp:positionH relativeFrom="column">
                        <wp:posOffset>2084705</wp:posOffset>
                      </wp:positionH>
                      <wp:positionV relativeFrom="paragraph">
                        <wp:posOffset>126365</wp:posOffset>
                      </wp:positionV>
                      <wp:extent cx="200660" cy="222250"/>
                      <wp:effectExtent l="635" t="635" r="635" b="635"/>
                      <wp:wrapNone/>
                      <wp:docPr id="6" name="Bézier curve 5"/>
                      <a:graphic xmlns:a="http://schemas.openxmlformats.org/drawingml/2006/main">
                        <a:graphicData uri="http://schemas.microsoft.com/office/word/2010/wordprocessingShape">
                          <wps:wsp>
                            <wps:cNvSpPr/>
                            <wps:spPr>
                              <a:xfrm>
                                <a:off x="0" y="0"/>
                                <a:ext cx="200520" cy="222120"/>
                              </a:xfrm>
                              <a:custGeom>
                                <a:avLst/>
                                <a:gdLst>
                                  <a:gd name="textAreaLeft" fmla="*/ 0 w 113760"/>
                                  <a:gd name="textAreaRight" fmla="*/ 114480 w 113760"/>
                                  <a:gd name="textAreaTop" fmla="*/ 0 h 126000"/>
                                  <a:gd name="textAreaBottom" fmla="*/ 126720 h 126000"/>
                                </a:gdLst>
                                <a:ahLst/>
                                <a:cxnLst/>
                                <a:rect l="textAreaLeft" t="textAreaTop" r="textAreaRight" b="textAreaBottom"/>
                                <a:pathLst>
                                  <a:path fill="none" w="557" h="617">
                                    <a:moveTo>
                                      <a:pt x="321" y="0"/>
                                    </a:moveTo>
                                    <a:cubicBezTo>
                                      <a:pt x="141" y="23"/>
                                      <a:pt x="-37" y="201"/>
                                      <a:pt x="7" y="378"/>
                                    </a:cubicBezTo>
                                    <a:cubicBezTo>
                                      <a:pt x="48" y="544"/>
                                      <a:pt x="312" y="727"/>
                                      <a:pt x="478" y="537"/>
                                    </a:cubicBezTo>
                                    <a:lnTo>
                                      <a:pt x="557" y="473"/>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10">
                      <wp:simplePos x="0" y="0"/>
                      <wp:positionH relativeFrom="column">
                        <wp:posOffset>2374900</wp:posOffset>
                      </wp:positionH>
                      <wp:positionV relativeFrom="paragraph">
                        <wp:posOffset>92710</wp:posOffset>
                      </wp:positionV>
                      <wp:extent cx="216535" cy="237490"/>
                      <wp:effectExtent l="635" t="635" r="635" b="635"/>
                      <wp:wrapNone/>
                      <wp:docPr id="7" name="Bézier curve 6"/>
                      <a:graphic xmlns:a="http://schemas.openxmlformats.org/drawingml/2006/main">
                        <a:graphicData uri="http://schemas.microsoft.com/office/word/2010/wordprocessingShape">
                          <wps:wsp>
                            <wps:cNvSpPr/>
                            <wps:spPr>
                              <a:xfrm>
                                <a:off x="0" y="0"/>
                                <a:ext cx="216360" cy="237600"/>
                              </a:xfrm>
                              <a:custGeom>
                                <a:avLst/>
                                <a:gdLst>
                                  <a:gd name="textAreaLeft" fmla="*/ 0 w 122760"/>
                                  <a:gd name="textAreaRight" fmla="*/ 123480 w 122760"/>
                                  <a:gd name="textAreaTop" fmla="*/ 0 h 134640"/>
                                  <a:gd name="textAreaBottom" fmla="*/ 135360 h 134640"/>
                                </a:gdLst>
                                <a:ahLst/>
                                <a:cxnLst/>
                                <a:rect l="textAreaLeft" t="textAreaTop" r="textAreaRight" b="textAreaBottom"/>
                                <a:pathLst>
                                  <a:path fill="none" w="601" h="660">
                                    <a:moveTo>
                                      <a:pt x="83" y="409"/>
                                    </a:moveTo>
                                    <a:cubicBezTo>
                                      <a:pt x="189" y="323"/>
                                      <a:pt x="603" y="416"/>
                                      <a:pt x="444" y="141"/>
                                    </a:cubicBezTo>
                                    <a:cubicBezTo>
                                      <a:pt x="366" y="5"/>
                                      <a:pt x="4" y="-108"/>
                                      <a:pt x="4" y="173"/>
                                    </a:cubicBezTo>
                                    <a:cubicBezTo>
                                      <a:pt x="4" y="333"/>
                                      <a:pt x="-35" y="531"/>
                                      <a:pt x="129" y="644"/>
                                    </a:cubicBezTo>
                                    <a:lnTo>
                                      <a:pt x="317" y="660"/>
                                    </a:lnTo>
                                    <a:lnTo>
                                      <a:pt x="508" y="614"/>
                                    </a:lnTo>
                                    <a:lnTo>
                                      <a:pt x="601" y="61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tc>
      </w:tr>
    </w:tbl>
    <w:p>
      <w:pPr>
        <w:pStyle w:val="Normal"/>
        <w:spacing w:before="0" w:after="160"/>
        <w:rPr>
          <w:rFonts w:ascii="Verdana" w:hAnsi="Verdana" w:eastAsia="Verdana" w:cs="Verdana"/>
        </w:rPr>
      </w:pPr>
      <w:r>
        <w:rPr>
          <w:rFonts w:eastAsia="Verdana" w:cs="Verdana" w:ascii="Verdana" w:hAnsi="Verdana"/>
        </w:rPr>
      </w:r>
    </w:p>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40" w:right="1440" w:gutter="0" w:header="708" w:top="1440" w:footer="708"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characterSet="utf-8"/>
    <w:family w:val="swiss"/>
    <w:pitch w:val="variable"/>
    <w:embedRegular r:id="rId9" w:fontKey="{09014A78-CABC-4EF0-12AC-5CD89AEFDE09}"/>
    <w:embedBold r:id="rId10" w:fontKey="{0A014A78-CABC-4EF0-12AC-5CD89AEFDE0A}"/>
    <w:embedItalic r:id="rId11" w:fontKey="{0B014A78-CABC-4EF0-12AC-5CD89AEFDE0B}"/>
  </w:font>
  <w:font w:name="Play">
    <w:charset w:val="01" w:characterSet="utf-8"/>
    <w:family w:val="swiss"/>
    <w:pitch w:val="variable"/>
    <w:embedRegular r:id="rId12" w:fontKey="{0C014A78-CABC-4EF0-12AC-5CD89AEFDE0C}"/>
    <w:embedBold r:id="rId13" w:fontKey="{0D014A78-CABC-4EF0-12AC-5CD89AEFDE0D}"/>
  </w:font>
  <w:font w:name="Aptos Display">
    <w:charset w:val="01" w:characterSet="utf-8"/>
    <w:family w:val="swiss"/>
    <w:pitch w:val="variable"/>
    <w:embedRegular r:id="rId14" w:fontKey="{0E014A78-CABC-4EF0-12AC-5CD89AEFDE0E}"/>
    <w:embedBold r:id="rId15" w:fontKey="{0F014A78-CABC-4EF0-12AC-5CD89AEFDE0F}"/>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Verdana">
    <w:charset w:val="01" w:characterSet="utf-8"/>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S Gothic">
    <w:charset w:val="01" w:characterSet="utf-8"/>
    <w:family w:val="swiss"/>
    <w:pitch w:val="variable"/>
  </w:font>
  <w:font w:name="Calibri">
    <w:charset w:val="01"/>
    <w:family w:val="swiss"/>
    <w:pitch w:val="default"/>
    <w:embedRegular r:id="rId20" w:fontKey="{14014A78-CABC-4EF0-12AC-5CD89AEFDE14}"/>
    <w:embedBold r:id="rId21" w:fontKey="{15014A78-CABC-4EF0-12AC-5CD89AEFDE15}"/>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Symbols">
    <w:charset w:val="01"/>
    <w:family w:val="swiss"/>
    <w:pitch w:val="variable"/>
    <w:embedRegular r:id="rId26" w:fontKey="{1A014A78-CABC-4EF0-12AC-5CD89AEFDE1A}"/>
    <w:embedBold r:id="rId27" w:fontKey="{1B014A78-CABC-4EF0-12AC-5CD89AEFDE1B}"/>
    <w:embedItalic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start"/>
      <w:pPr>
        <w:tabs>
          <w:tab w:val="num" w:pos="0"/>
        </w:tabs>
        <w:ind w:start="360" w:hanging="360"/>
      </w:pPr>
      <w:rPr>
        <w:rFonts w:ascii="Calibri" w:hAnsi="Calibri" w:cs="Calibri" w:hint="default"/>
      </w:rPr>
    </w:lvl>
    <w:lvl w:ilvl="1">
      <w:start w:val="0"/>
      <w:numFmt w:val="bullet"/>
      <w:lvlText w:val="o"/>
      <w:lvlJc w:val="start"/>
      <w:pPr>
        <w:tabs>
          <w:tab w:val="num" w:pos="0"/>
        </w:tabs>
        <w:ind w:start="1080" w:hanging="360"/>
      </w:pPr>
      <w:rPr>
        <w:rFonts w:ascii="Courier New" w:hAnsi="Courier New" w:cs="Courier New" w:hint="default"/>
      </w:rPr>
    </w:lvl>
    <w:lvl w:ilvl="2">
      <w:start w:val="0"/>
      <w:numFmt w:val="bullet"/>
      <w:lvlText w:val="▪"/>
      <w:lvlJc w:val="start"/>
      <w:pPr>
        <w:tabs>
          <w:tab w:val="num" w:pos="0"/>
        </w:tabs>
        <w:ind w:start="1800" w:hanging="360"/>
      </w:pPr>
      <w:rPr>
        <w:rFonts w:ascii="Noto Sans Symbols" w:hAnsi="Noto Sans Symbols" w:cs="Noto Sans Symbols" w:hint="default"/>
      </w:rPr>
    </w:lvl>
    <w:lvl w:ilvl="3">
      <w:start w:val="0"/>
      <w:numFmt w:val="bullet"/>
      <w:lvlText w:val="●"/>
      <w:lvlJc w:val="start"/>
      <w:pPr>
        <w:tabs>
          <w:tab w:val="num" w:pos="0"/>
        </w:tabs>
        <w:ind w:start="2520" w:hanging="360"/>
      </w:pPr>
      <w:rPr>
        <w:rFonts w:ascii="Noto Sans Symbols" w:hAnsi="Noto Sans Symbols" w:cs="Noto Sans Symbols" w:hint="default"/>
      </w:rPr>
    </w:lvl>
    <w:lvl w:ilvl="4">
      <w:start w:val="0"/>
      <w:numFmt w:val="bullet"/>
      <w:lvlText w:val="o"/>
      <w:lvlJc w:val="start"/>
      <w:pPr>
        <w:tabs>
          <w:tab w:val="num" w:pos="0"/>
        </w:tabs>
        <w:ind w:start="3240" w:hanging="360"/>
      </w:pPr>
      <w:rPr>
        <w:rFonts w:ascii="Courier New" w:hAnsi="Courier New" w:cs="Courier New" w:hint="default"/>
      </w:rPr>
    </w:lvl>
    <w:lvl w:ilvl="5">
      <w:start w:val="0"/>
      <w:numFmt w:val="bullet"/>
      <w:lvlText w:val="▪"/>
      <w:lvlJc w:val="start"/>
      <w:pPr>
        <w:tabs>
          <w:tab w:val="num" w:pos="0"/>
        </w:tabs>
        <w:ind w:start="3960" w:hanging="360"/>
      </w:pPr>
      <w:rPr>
        <w:rFonts w:ascii="Noto Sans Symbols" w:hAnsi="Noto Sans Symbols" w:cs="Noto Sans Symbols" w:hint="default"/>
      </w:rPr>
    </w:lvl>
    <w:lvl w:ilvl="6">
      <w:start w:val="0"/>
      <w:numFmt w:val="bullet"/>
      <w:lvlText w:val="●"/>
      <w:lvlJc w:val="start"/>
      <w:pPr>
        <w:tabs>
          <w:tab w:val="num" w:pos="0"/>
        </w:tabs>
        <w:ind w:start="4680" w:hanging="360"/>
      </w:pPr>
      <w:rPr>
        <w:rFonts w:ascii="Noto Sans Symbols" w:hAnsi="Noto Sans Symbols" w:cs="Noto Sans Symbols" w:hint="default"/>
      </w:rPr>
    </w:lvl>
    <w:lvl w:ilvl="7">
      <w:start w:val="0"/>
      <w:numFmt w:val="bullet"/>
      <w:lvlText w:val="o"/>
      <w:lvlJc w:val="start"/>
      <w:pPr>
        <w:tabs>
          <w:tab w:val="num" w:pos="0"/>
        </w:tabs>
        <w:ind w:start="5400" w:hanging="360"/>
      </w:pPr>
      <w:rPr>
        <w:rFonts w:ascii="Courier New" w:hAnsi="Courier New" w:cs="Courier New" w:hint="default"/>
      </w:rPr>
    </w:lvl>
    <w:lvl w:ilvl="8">
      <w:start w:val="0"/>
      <w:numFmt w:val="bullet"/>
      <w:lvlText w:val="▪"/>
      <w:lvlJc w:val="start"/>
      <w:pPr>
        <w:tabs>
          <w:tab w:val="num" w:pos="0"/>
        </w:tabs>
        <w:ind w:start="6120" w:hanging="360"/>
      </w:pPr>
      <w:rPr>
        <w:rFonts w:ascii="Noto Sans Symbols" w:hAnsi="Noto Sans Symbols" w:cs="Noto Sans Symbols" w:hint="default"/>
      </w:rPr>
    </w:lvl>
  </w:abstractNum>
  <w:abstractNum w:abstractNumId="2">
    <w:lvl w:ilvl="0">
      <w:start w:val="6"/>
      <w:numFmt w:val="bullet"/>
      <w:lvlText w:val="-"/>
      <w:lvlJc w:val="start"/>
      <w:pPr>
        <w:tabs>
          <w:tab w:val="num" w:pos="0"/>
        </w:tabs>
        <w:ind w:start="720" w:hanging="360"/>
      </w:pPr>
      <w:rPr>
        <w:rFonts w:ascii="Verdana" w:hAnsi="Verdana" w:cs="Verdana"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8"/>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Aptos"/>
        <w:sz w:val="24"/>
        <w:szCs w:val="24"/>
        <w:lang w:val="en-US" w:eastAsia="nl-NL"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start"/>
    </w:pPr>
    <w:rPr>
      <w:rFonts w:ascii="Aptos" w:hAnsi="Aptos" w:eastAsia="Aptos" w:cs="Aptos"/>
      <w:color w:val="auto"/>
      <w:kern w:val="0"/>
      <w:sz w:val="24"/>
      <w:szCs w:val="24"/>
      <w:lang w:val="en-US" w:eastAsia="nl-NL" w:bidi="ar-SA"/>
    </w:rPr>
  </w:style>
  <w:style w:type="paragraph" w:styleId="Heading1">
    <w:name w:val="heading 1"/>
    <w:basedOn w:val="Normal"/>
    <w:next w:val="Normal"/>
    <w:link w:val="Heading1Char"/>
    <w:uiPriority w:val="9"/>
    <w:qFormat/>
    <w:pPr>
      <w:keepNext w:val="true"/>
      <w:keepLines/>
      <w:spacing w:before="360" w:after="80"/>
      <w:outlineLvl w:val="0"/>
    </w:pPr>
    <w:rPr>
      <w:rFonts w:ascii="Play" w:hAnsi="Play" w:eastAsia="Play" w:cs="Play"/>
      <w:color w:val="0F4761"/>
      <w:sz w:val="40"/>
      <w:szCs w:val="40"/>
    </w:rPr>
  </w:style>
  <w:style w:type="paragraph" w:styleId="Heading2">
    <w:name w:val="heading 2"/>
    <w:basedOn w:val="Normal"/>
    <w:next w:val="Normal"/>
    <w:link w:val="Heading2Char"/>
    <w:uiPriority w:val="9"/>
    <w:semiHidden/>
    <w:unhideWhenUsed/>
    <w:qFormat/>
    <w:pPr>
      <w:keepNext w:val="true"/>
      <w:keepLines/>
      <w:spacing w:before="160" w:after="80"/>
      <w:outlineLvl w:val="1"/>
    </w:pPr>
    <w:rPr>
      <w:rFonts w:ascii="Play" w:hAnsi="Play" w:eastAsia="Play" w:cs="Play"/>
      <w:color w:val="0F4761"/>
      <w:sz w:val="32"/>
      <w:szCs w:val="32"/>
    </w:rPr>
  </w:style>
  <w:style w:type="paragraph" w:styleId="Heading3">
    <w:name w:val="heading 3"/>
    <w:basedOn w:val="Normal"/>
    <w:next w:val="Normal"/>
    <w:link w:val="Heading3Char"/>
    <w:uiPriority w:val="9"/>
    <w:semiHidden/>
    <w:unhideWhenUsed/>
    <w:qFormat/>
    <w:pPr>
      <w:keepNext w:val="true"/>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val="true"/>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val="true"/>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71326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71326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71326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1326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71326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71326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71326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71326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71326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71326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71326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71326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71326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1326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713267"/>
    <w:rPr>
      <w:i/>
      <w:iCs/>
      <w:color w:themeColor="text1" w:themeTint="bf" w:val="404040"/>
    </w:rPr>
  </w:style>
  <w:style w:type="character" w:styleId="IntenseEmphasis">
    <w:name w:val="Intense Emphasis"/>
    <w:basedOn w:val="DefaultParagraphFont"/>
    <w:uiPriority w:val="21"/>
    <w:qFormat/>
    <w:rsid w:val="00713267"/>
    <w:rPr>
      <w:i/>
      <w:iCs/>
      <w:color w:themeColor="accent1" w:themeShade="bf" w:val="0F4761"/>
    </w:rPr>
  </w:style>
  <w:style w:type="character" w:styleId="IntenseQuoteChar" w:customStyle="1">
    <w:name w:val="Intense Quote Char"/>
    <w:basedOn w:val="DefaultParagraphFont"/>
    <w:link w:val="IntenseQuote"/>
    <w:uiPriority w:val="30"/>
    <w:qFormat/>
    <w:rsid w:val="00713267"/>
    <w:rPr>
      <w:i/>
      <w:iCs/>
      <w:color w:themeColor="accent1" w:themeShade="bf" w:val="0F4761"/>
    </w:rPr>
  </w:style>
  <w:style w:type="character" w:styleId="IntenseReference">
    <w:name w:val="Intense Reference"/>
    <w:basedOn w:val="DefaultParagraphFont"/>
    <w:uiPriority w:val="32"/>
    <w:qFormat/>
    <w:rsid w:val="00713267"/>
    <w:rPr>
      <w:b/>
      <w:bCs/>
      <w:smallCaps/>
      <w:color w:themeColor="accent1" w:themeShade="bf" w:val="0F4761"/>
      <w:spacing w:val="5"/>
    </w:rPr>
  </w:style>
  <w:style w:type="character" w:styleId="HeaderChar" w:customStyle="1">
    <w:name w:val="Header Char"/>
    <w:basedOn w:val="DefaultParagraphFont"/>
    <w:link w:val="Header"/>
    <w:uiPriority w:val="99"/>
    <w:qFormat/>
    <w:rsid w:val="008f13c1"/>
    <w:rPr>
      <w:rFonts w:ascii="Aptos" w:hAnsi="Aptos" w:eastAsia="Aptos" w:cs="Aptos"/>
      <w:kern w:val="0"/>
      <w:lang w:val="en-US"/>
    </w:rPr>
  </w:style>
  <w:style w:type="character" w:styleId="FooterChar" w:customStyle="1">
    <w:name w:val="Footer Char"/>
    <w:basedOn w:val="DefaultParagraphFont"/>
    <w:link w:val="Footer"/>
    <w:uiPriority w:val="99"/>
    <w:qFormat/>
    <w:rsid w:val="008f13c1"/>
    <w:rPr>
      <w:rFonts w:ascii="Aptos" w:hAnsi="Aptos" w:eastAsia="Aptos" w:cs="Aptos"/>
      <w:kern w:val="0"/>
      <w:lang w:val="en-US"/>
    </w:rPr>
  </w:style>
  <w:style w:type="character" w:styleId="Hyperlink">
    <w:name w:val="Hyperlink"/>
    <w:basedOn w:val="DefaultParagraphFont"/>
    <w:uiPriority w:val="99"/>
    <w:unhideWhenUsed/>
    <w:rsid w:val="00a37224"/>
    <w:rPr>
      <w:color w:themeColor="hyperlink" w:val="467886"/>
      <w:u w:val="single"/>
    </w:rPr>
  </w:style>
  <w:style w:type="character" w:styleId="UnresolvedMention">
    <w:name w:val="Unresolved Mention"/>
    <w:basedOn w:val="DefaultParagraphFont"/>
    <w:uiPriority w:val="99"/>
    <w:semiHidden/>
    <w:unhideWhenUsed/>
    <w:qFormat/>
    <w:rsid w:val="00a37224"/>
    <w:rPr>
      <w:color w:val="605E5C"/>
      <w:shd w:fill="E1DFDD" w:val="clear"/>
    </w:rPr>
  </w:style>
  <w:style w:type="paragraph" w:styleId="Heading">
    <w:name w:val="Heading"/>
    <w:basedOn w:val="Normal"/>
    <w:next w:val="BodyText"/>
    <w:qFormat/>
    <w:pPr>
      <w:keepNext w:val="true"/>
      <w:spacing w:before="240" w:after="120"/>
    </w:pPr>
    <w:rPr>
      <w:rFonts w:ascii="Arial" w:hAnsi="Arial"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pPr>
      <w:spacing w:lineRule="auto" w:line="240" w:before="0" w:after="80"/>
    </w:pPr>
    <w:rPr>
      <w:rFonts w:ascii="Play" w:hAnsi="Play" w:eastAsia="Play" w:cs="Play"/>
      <w:sz w:val="56"/>
      <w:szCs w:val="56"/>
    </w:rPr>
  </w:style>
  <w:style w:type="paragraph" w:styleId="Quote">
    <w:name w:val="Quote"/>
    <w:basedOn w:val="Normal"/>
    <w:next w:val="Normal"/>
    <w:link w:val="QuoteChar"/>
    <w:uiPriority w:val="29"/>
    <w:qFormat/>
    <w:rsid w:val="00713267"/>
    <w:pPr>
      <w:spacing w:before="160" w:after="160"/>
      <w:jc w:val="center"/>
    </w:pPr>
    <w:rPr>
      <w:i/>
      <w:iCs/>
      <w:color w:themeColor="text1" w:themeTint="bf" w:val="404040"/>
    </w:rPr>
  </w:style>
  <w:style w:type="paragraph" w:styleId="ListParagraph">
    <w:name w:val="List Paragraph"/>
    <w:basedOn w:val="Normal"/>
    <w:uiPriority w:val="34"/>
    <w:qFormat/>
    <w:rsid w:val="00713267"/>
    <w:pPr>
      <w:spacing w:before="0" w:after="160"/>
      <w:ind w:start="720"/>
      <w:contextualSpacing/>
    </w:pPr>
    <w:rPr/>
  </w:style>
  <w:style w:type="paragraph" w:styleId="IntenseQuote">
    <w:name w:val="Intense Quote"/>
    <w:basedOn w:val="Normal"/>
    <w:next w:val="Normal"/>
    <w:link w:val="IntenseQuoteChar"/>
    <w:uiPriority w:val="30"/>
    <w:qFormat/>
    <w:rsid w:val="0071326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8f13c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f13c1"/>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b7451b"/>
    <w:pPr/>
    <w:rPr>
      <w:rFonts w:ascii="Times New Roman" w:hAnsi="Times New Roman" w:cs="Times New Roman"/>
    </w:rPr>
  </w:style>
  <w:style w:type="paragraph" w:styleId="Subtitle">
    <w:name w:val="Subtitle"/>
    <w:basedOn w:val="Normal"/>
    <w:next w:val="Normal"/>
    <w:link w:val="SubtitleChar"/>
    <w:uiPriority w:val="11"/>
    <w:qFormat/>
    <w:pPr/>
    <w:rPr>
      <w:color w:val="595959"/>
      <w:sz w:val="28"/>
      <w:szCs w:val="28"/>
    </w:rPr>
  </w:style>
  <w:style w:type="paragraph" w:styleId="FrameContentsuser">
    <w:name w:val="Frame Contents (user)"/>
    <w:basedOn w:val="Normal"/>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hasselt.be/nl/info-voor/studenten/begeleiding-en-ondersteuning-tijdens-je-studie/studiebegeleiding-en-studietips/studietips/effectief-en-verantwoord-gebruik-van-ai-in-je-studie/effectief-en-verantwoord-gebruik-van-ai-in-je-studie" TargetMode="External"/><Relationship Id="rId3" Type="http://schemas.openxmlformats.org/officeDocument/2006/relationships/hyperlink" Target="https://www.kuleuven.be/onderwijs/student/onderwijstools/genai-studenten" TargetMode="Externa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58q2Jxe6aPTkuOYERDLQ9luw7yA==">CgMxLjA4AHIhMTBzRkkybXJuRUZ0WkVabjNhaUV0V0xlZ25oMUFhX2hl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Application>LibreOffice/25.8.1.1$Linux_X86_64 LibreOffice_project/580$Build-1</Application>
  <AppVersion>15.0000</AppVersion>
  <Pages>4</Pages>
  <Words>1104</Words>
  <Characters>5678</Characters>
  <CharactersWithSpaces>6747</CharactersWithSpaces>
  <Paragraphs>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2025-09-15T12:09:00Z</dcterms:created>
  <dc:creator>VANACKEN Davy</dc:creator>
  <dc:description/>
  <dc:language>en-US</dc:language>
  <cp:lastModifiedBy/>
  <dcterms:modified xsi:type="dcterms:W3CDTF">2025-10-05T15:29:10Z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e71e1bbd-3267-4858-b507-fca896f02f7a</vt:lpwstr>
  </property>
</Properties>
</file>